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7F" w:rsidRDefault="00B4557F" w:rsidP="000C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304570" cy="8982075"/>
            <wp:effectExtent l="19050" t="0" r="980" b="0"/>
            <wp:docPr id="1" name="Рисунок 0" descr="IMAG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19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570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7F" w:rsidRDefault="00B4557F" w:rsidP="000C1A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C1A8B" w:rsidRPr="000C1A8B" w:rsidRDefault="000C1A8B" w:rsidP="000C1A8B">
      <w:pPr>
        <w:pStyle w:val="a3"/>
        <w:spacing w:before="0" w:beforeAutospacing="0" w:after="0" w:afterAutospacing="0"/>
        <w:rPr>
          <w:sz w:val="28"/>
          <w:szCs w:val="28"/>
        </w:rPr>
      </w:pPr>
      <w:r w:rsidRPr="000C1A8B">
        <w:rPr>
          <w:b/>
          <w:bCs/>
          <w:sz w:val="28"/>
          <w:szCs w:val="28"/>
        </w:rPr>
        <w:lastRenderedPageBreak/>
        <w:t>I. Общие положения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1. По</w:t>
      </w:r>
      <w:r w:rsidR="007E39C5">
        <w:rPr>
          <w:sz w:val="28"/>
          <w:szCs w:val="28"/>
        </w:rPr>
        <w:t>ложение о</w:t>
      </w:r>
      <w:r w:rsidRPr="000C1A8B">
        <w:rPr>
          <w:sz w:val="28"/>
          <w:szCs w:val="28"/>
        </w:rPr>
        <w:t xml:space="preserve"> проведени</w:t>
      </w:r>
      <w:r w:rsidR="007E39C5">
        <w:rPr>
          <w:sz w:val="28"/>
          <w:szCs w:val="28"/>
        </w:rPr>
        <w:t>и</w:t>
      </w:r>
      <w:r w:rsidRPr="000C1A8B">
        <w:rPr>
          <w:sz w:val="28"/>
          <w:szCs w:val="28"/>
        </w:rPr>
        <w:t xml:space="preserve"> государственной итоговой аттестации по </w:t>
      </w:r>
      <w:r w:rsidR="007E39C5">
        <w:rPr>
          <w:sz w:val="28"/>
          <w:szCs w:val="28"/>
        </w:rPr>
        <w:t xml:space="preserve">программам подготовки специалистов среднего звена </w:t>
      </w:r>
      <w:r w:rsidRPr="000C1A8B">
        <w:rPr>
          <w:sz w:val="28"/>
          <w:szCs w:val="28"/>
        </w:rPr>
        <w:t xml:space="preserve">(далее </w:t>
      </w:r>
      <w:r w:rsidR="00814A06">
        <w:rPr>
          <w:sz w:val="28"/>
          <w:szCs w:val="28"/>
        </w:rPr>
        <w:t>–</w:t>
      </w:r>
      <w:r w:rsidRPr="000C1A8B">
        <w:rPr>
          <w:sz w:val="28"/>
          <w:szCs w:val="28"/>
        </w:rPr>
        <w:t xml:space="preserve"> По</w:t>
      </w:r>
      <w:r w:rsidR="007E39C5">
        <w:rPr>
          <w:sz w:val="28"/>
          <w:szCs w:val="28"/>
        </w:rPr>
        <w:t>ложение</w:t>
      </w:r>
      <w:r w:rsidR="00814A06">
        <w:rPr>
          <w:sz w:val="28"/>
          <w:szCs w:val="28"/>
        </w:rPr>
        <w:t>, далее - ППССЗ</w:t>
      </w:r>
      <w:r w:rsidRPr="000C1A8B">
        <w:rPr>
          <w:sz w:val="28"/>
          <w:szCs w:val="28"/>
        </w:rPr>
        <w:t>) устанавливает правила организации и проведения</w:t>
      </w:r>
      <w:r>
        <w:rPr>
          <w:sz w:val="28"/>
          <w:szCs w:val="28"/>
        </w:rPr>
        <w:t xml:space="preserve"> ГБПОУ РМЭ «Йошкар-Олинское художественное училище» (далее – училище)</w:t>
      </w:r>
      <w:r w:rsidRPr="000C1A8B">
        <w:rPr>
          <w:sz w:val="28"/>
          <w:szCs w:val="28"/>
        </w:rPr>
        <w:t>, государственной итоговой аттестации студентов (далее - студенты, выпускники), завершающей освоение имеющих государственную аккредитацию образовательных программ среднего профессионального образования, включая формы государственной итоговой аттестации, требования к использованию средств обучения и воспитания, средств связи припроведении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лиц с ограниченными возможностями здоровья.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2. Обеспечение проведения государственной итоговой аттестации по образовательным программам среднего профессионального образования осуществляется</w:t>
      </w:r>
      <w:r>
        <w:rPr>
          <w:sz w:val="28"/>
          <w:szCs w:val="28"/>
        </w:rPr>
        <w:t xml:space="preserve"> училищем</w:t>
      </w:r>
      <w:r w:rsidRPr="000C1A8B">
        <w:rPr>
          <w:sz w:val="28"/>
          <w:szCs w:val="28"/>
        </w:rPr>
        <w:t>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Училище </w:t>
      </w:r>
      <w:r w:rsidRPr="000C1A8B">
        <w:rPr>
          <w:sz w:val="28"/>
          <w:szCs w:val="28"/>
        </w:rPr>
        <w:t>использу</w:t>
      </w:r>
      <w:r>
        <w:rPr>
          <w:sz w:val="28"/>
          <w:szCs w:val="28"/>
        </w:rPr>
        <w:t>е</w:t>
      </w:r>
      <w:r w:rsidRPr="000C1A8B">
        <w:rPr>
          <w:sz w:val="28"/>
          <w:szCs w:val="28"/>
        </w:rPr>
        <w:t xml:space="preserve">т необходимые для организации образовательной деятельности </w:t>
      </w:r>
      <w:r>
        <w:rPr>
          <w:sz w:val="28"/>
          <w:szCs w:val="28"/>
        </w:rPr>
        <w:t xml:space="preserve">технические </w:t>
      </w:r>
      <w:r w:rsidRPr="000C1A8B">
        <w:rPr>
          <w:sz w:val="28"/>
          <w:szCs w:val="28"/>
        </w:rPr>
        <w:t>средства при проведении государственной итоговой аттестации студентов.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 xml:space="preserve">5. Лица, осваивающие образовательную программу среднего профессионального образования в </w:t>
      </w:r>
      <w:r w:rsidRPr="00BE5264">
        <w:rPr>
          <w:sz w:val="28"/>
          <w:szCs w:val="28"/>
        </w:rPr>
        <w:t xml:space="preserve">форме самообразования </w:t>
      </w:r>
      <w:r w:rsidRPr="000C1A8B">
        <w:rPr>
          <w:sz w:val="28"/>
          <w:szCs w:val="28"/>
        </w:rPr>
        <w:t>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</w:t>
      </w:r>
      <w:r w:rsidR="00814A06">
        <w:rPr>
          <w:sz w:val="28"/>
          <w:szCs w:val="28"/>
        </w:rPr>
        <w:t>ложением</w:t>
      </w:r>
      <w:r w:rsidRPr="000C1A8B">
        <w:rPr>
          <w:sz w:val="28"/>
          <w:szCs w:val="28"/>
        </w:rPr>
        <w:t>.</w:t>
      </w:r>
    </w:p>
    <w:p w:rsidR="00C53428" w:rsidRPr="000C1A8B" w:rsidRDefault="00C53428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b/>
          <w:bCs/>
          <w:sz w:val="28"/>
          <w:szCs w:val="28"/>
        </w:rPr>
        <w:t>II. Государственная экзаменационная комиссия</w:t>
      </w:r>
    </w:p>
    <w:p w:rsidR="000C1A8B" w:rsidRPr="00C53428" w:rsidRDefault="000C1A8B" w:rsidP="000C1A8B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C1A8B">
        <w:rPr>
          <w:sz w:val="28"/>
          <w:szCs w:val="28"/>
        </w:rPr>
        <w:t xml:space="preserve">6.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</w:t>
      </w:r>
      <w:r w:rsidR="00C53428">
        <w:rPr>
          <w:sz w:val="28"/>
          <w:szCs w:val="28"/>
        </w:rPr>
        <w:t>действующих</w:t>
      </w:r>
      <w:r w:rsidRPr="000C1A8B">
        <w:rPr>
          <w:sz w:val="28"/>
          <w:szCs w:val="28"/>
        </w:rPr>
        <w:t xml:space="preserve"> образовательн</w:t>
      </w:r>
      <w:r w:rsidR="00C53428">
        <w:rPr>
          <w:sz w:val="28"/>
          <w:szCs w:val="28"/>
        </w:rPr>
        <w:t>ых</w:t>
      </w:r>
      <w:r w:rsidRPr="000C1A8B">
        <w:rPr>
          <w:sz w:val="28"/>
          <w:szCs w:val="28"/>
        </w:rPr>
        <w:t xml:space="preserve"> стандарт</w:t>
      </w:r>
      <w:r w:rsidR="00C53428">
        <w:rPr>
          <w:sz w:val="28"/>
          <w:szCs w:val="28"/>
        </w:rPr>
        <w:t>ов</w:t>
      </w:r>
      <w:r w:rsidRPr="000C1A8B">
        <w:rPr>
          <w:sz w:val="28"/>
          <w:szCs w:val="28"/>
        </w:rPr>
        <w:t xml:space="preserve">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</w:t>
      </w:r>
      <w:r w:rsidR="00C53428">
        <w:rPr>
          <w:sz w:val="28"/>
          <w:szCs w:val="28"/>
        </w:rPr>
        <w:t xml:space="preserve">ой образовательной организацией или по образовательным программам среднего профессионального образования укрупнённой группы специальностей </w:t>
      </w:r>
      <w:r w:rsidR="0081457A">
        <w:rPr>
          <w:sz w:val="28"/>
          <w:szCs w:val="28"/>
        </w:rPr>
        <w:t>54.00.00 Изобразительное и прикладные виды искусств.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lastRenderedPageBreak/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Состав государственной экзаменационной комиссии утверждается</w:t>
      </w:r>
      <w:r w:rsidR="00C53428">
        <w:rPr>
          <w:sz w:val="28"/>
          <w:szCs w:val="28"/>
        </w:rPr>
        <w:t xml:space="preserve"> приказом директора училища</w:t>
      </w:r>
      <w:r w:rsidRPr="000C1A8B">
        <w:rPr>
          <w:sz w:val="28"/>
          <w:szCs w:val="28"/>
        </w:rPr>
        <w:t>.</w:t>
      </w:r>
    </w:p>
    <w:p w:rsid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7.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FD1D0F" w:rsidRPr="000C1A8B" w:rsidRDefault="00FD1D0F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училище реализует образовательные программы среднего профессионального образования укрупнённой группы специальностей 54.00.00 Изобразительное и прикладные виды искусств, лицо, назначаемое председателем государственной экзаменационной комиссии, может возглавлять все государственные экзаменационные комиссии по образовательным программам среднего профессионального образования, реализуемым в училище, данной укрупнённой группы специальностей.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</w:t>
      </w:r>
      <w:r w:rsidR="00C53428">
        <w:rPr>
          <w:sz w:val="28"/>
          <w:szCs w:val="28"/>
        </w:rPr>
        <w:t>Министерством культуры, печати и по делам национальностей Республики Марий Эл</w:t>
      </w:r>
      <w:r w:rsidRPr="000C1A8B">
        <w:rPr>
          <w:sz w:val="28"/>
          <w:szCs w:val="28"/>
        </w:rPr>
        <w:t xml:space="preserve"> по представлению образовательной организации.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 xml:space="preserve">8. </w:t>
      </w:r>
      <w:r w:rsidR="00CA139E">
        <w:rPr>
          <w:sz w:val="28"/>
          <w:szCs w:val="28"/>
        </w:rPr>
        <w:t>Директор училища</w:t>
      </w:r>
      <w:r w:rsidRPr="000C1A8B">
        <w:rPr>
          <w:sz w:val="28"/>
          <w:szCs w:val="28"/>
        </w:rPr>
        <w:t xml:space="preserve"> является заместителем председателя государств</w:t>
      </w:r>
      <w:r w:rsidR="00FD1D0F">
        <w:rPr>
          <w:sz w:val="28"/>
          <w:szCs w:val="28"/>
        </w:rPr>
        <w:t xml:space="preserve">енной экзаменационной комиссии. В случае создания нескольких государственных экзаменационных комиссий по образовательным программам среднего профессионального образования одной укрупнённой группы специальностей и при назначении единого председателя государственных экзаменационных комиссий, директор училища является заместителем председателя </w:t>
      </w:r>
      <w:r w:rsidR="00A02871">
        <w:rPr>
          <w:sz w:val="28"/>
          <w:szCs w:val="28"/>
        </w:rPr>
        <w:t>всех государственных экзаменационных комиссий.</w:t>
      </w:r>
    </w:p>
    <w:p w:rsid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9. Государственная экзаменационная комиссия действует в течение одного календарного года.</w:t>
      </w:r>
    </w:p>
    <w:p w:rsidR="00CA139E" w:rsidRPr="000C1A8B" w:rsidRDefault="00CA139E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b/>
          <w:bCs/>
          <w:sz w:val="28"/>
          <w:szCs w:val="28"/>
        </w:rPr>
        <w:lastRenderedPageBreak/>
        <w:t>III. Формы государственной итоговой аттестации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10. 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0C1A8B" w:rsidRPr="00CA139E" w:rsidRDefault="000C1A8B" w:rsidP="000C1A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A139E">
        <w:rPr>
          <w:b/>
          <w:sz w:val="28"/>
          <w:szCs w:val="28"/>
        </w:rPr>
        <w:t>защита выпускной квалификационной работы</w:t>
      </w:r>
      <w:r w:rsidR="00CA139E" w:rsidRPr="00CA139E">
        <w:rPr>
          <w:b/>
          <w:sz w:val="28"/>
          <w:szCs w:val="28"/>
        </w:rPr>
        <w:t>:</w:t>
      </w:r>
    </w:p>
    <w:p w:rsidR="000C1A8B" w:rsidRPr="00B20D3D" w:rsidRDefault="000C1A8B" w:rsidP="000C1A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A139E">
        <w:rPr>
          <w:b/>
          <w:sz w:val="28"/>
          <w:szCs w:val="28"/>
        </w:rPr>
        <w:t>государственный экзамен</w:t>
      </w:r>
      <w:r w:rsidR="00B20D3D">
        <w:rPr>
          <w:b/>
          <w:sz w:val="28"/>
          <w:szCs w:val="28"/>
        </w:rPr>
        <w:t>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 xml:space="preserve">11. Выпускная квалификационная работа способствует систематизации и закреплению знаний выпускника </w:t>
      </w:r>
      <w:r w:rsidR="00B20D3D">
        <w:rPr>
          <w:sz w:val="28"/>
          <w:szCs w:val="28"/>
        </w:rPr>
        <w:t xml:space="preserve">по </w:t>
      </w:r>
      <w:r w:rsidRPr="000C1A8B">
        <w:rPr>
          <w:sz w:val="28"/>
          <w:szCs w:val="28"/>
        </w:rPr>
        <w:t>специальности при решении конкретных задач, а также выяснению уровня подготовки выпускника к самостоятельной работе.</w:t>
      </w:r>
    </w:p>
    <w:p w:rsidR="00B20D3D" w:rsidRDefault="000C1A8B" w:rsidP="00B20D3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C1A8B">
        <w:rPr>
          <w:sz w:val="28"/>
          <w:szCs w:val="28"/>
        </w:rPr>
        <w:t>12.</w:t>
      </w:r>
      <w:r w:rsidR="00B20D3D" w:rsidRPr="00B20D3D">
        <w:rPr>
          <w:sz w:val="28"/>
          <w:szCs w:val="28"/>
        </w:rPr>
        <w:t>Государственная итоговая аттестация включает</w:t>
      </w:r>
      <w:r w:rsidR="00B20D3D">
        <w:rPr>
          <w:sz w:val="28"/>
          <w:szCs w:val="28"/>
        </w:rPr>
        <w:t xml:space="preserve"> следующие виды</w:t>
      </w:r>
      <w:r w:rsidR="00B20D3D" w:rsidRPr="00B20D3D">
        <w:rPr>
          <w:sz w:val="28"/>
          <w:szCs w:val="28"/>
        </w:rPr>
        <w:t>:</w:t>
      </w:r>
    </w:p>
    <w:p w:rsidR="00B20D3D" w:rsidRPr="00CA139E" w:rsidRDefault="00B20D3D" w:rsidP="00B20D3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подготовка и </w:t>
      </w:r>
      <w:r w:rsidRPr="00CA139E">
        <w:rPr>
          <w:b/>
          <w:sz w:val="28"/>
          <w:szCs w:val="28"/>
        </w:rPr>
        <w:t>защит</w:t>
      </w:r>
      <w:r>
        <w:rPr>
          <w:b/>
          <w:sz w:val="28"/>
          <w:szCs w:val="28"/>
        </w:rPr>
        <w:t>а</w:t>
      </w:r>
      <w:r w:rsidRPr="00CA139E">
        <w:rPr>
          <w:b/>
          <w:sz w:val="28"/>
          <w:szCs w:val="28"/>
        </w:rPr>
        <w:t xml:space="preserve"> выпускной квалификационной работы:</w:t>
      </w:r>
    </w:p>
    <w:p w:rsidR="00B20D3D" w:rsidRDefault="00B20D3D" w:rsidP="00B20D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Живопись (по видам) – выпускная квалификационная работа по виду Станковая живопись – «Эскиз картины»;</w:t>
      </w:r>
    </w:p>
    <w:p w:rsidR="00B20D3D" w:rsidRPr="000C1A8B" w:rsidRDefault="00B20D3D" w:rsidP="00B20D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Дизайн (по отраслям) – выпускная квалификационная  работа</w:t>
      </w:r>
      <w:r w:rsidR="00A02871">
        <w:rPr>
          <w:sz w:val="28"/>
          <w:szCs w:val="28"/>
        </w:rPr>
        <w:t>(дипломная работа)</w:t>
      </w:r>
      <w:r>
        <w:rPr>
          <w:sz w:val="28"/>
          <w:szCs w:val="28"/>
        </w:rPr>
        <w:t>;</w:t>
      </w:r>
    </w:p>
    <w:p w:rsidR="00B20D3D" w:rsidRPr="00CA139E" w:rsidRDefault="00B20D3D" w:rsidP="00B20D3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A139E">
        <w:rPr>
          <w:b/>
          <w:sz w:val="28"/>
          <w:szCs w:val="28"/>
        </w:rPr>
        <w:t>государственный экзамен:</w:t>
      </w:r>
    </w:p>
    <w:p w:rsidR="00B20D3D" w:rsidRDefault="00B20D3D" w:rsidP="00B20D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Живопись (по видам) – Государственный экзамен по </w:t>
      </w:r>
      <w:r w:rsidR="00A02871">
        <w:rPr>
          <w:sz w:val="28"/>
          <w:szCs w:val="28"/>
        </w:rPr>
        <w:t>профессиональному модулю «Педагогическая деятельность»</w:t>
      </w:r>
      <w:r>
        <w:rPr>
          <w:sz w:val="28"/>
          <w:szCs w:val="28"/>
        </w:rPr>
        <w:t xml:space="preserve">. </w:t>
      </w:r>
    </w:p>
    <w:p w:rsidR="00B20D3D" w:rsidRPr="000C1A8B" w:rsidRDefault="00B20D3D" w:rsidP="00B20D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Дизайн (по отраслям) – Государственный экзамен по</w:t>
      </w:r>
      <w:r w:rsidR="00A02871">
        <w:rPr>
          <w:sz w:val="28"/>
          <w:szCs w:val="28"/>
        </w:rPr>
        <w:t>профессиональному модулю «Педагогическая деятельность»</w:t>
      </w:r>
      <w:r>
        <w:rPr>
          <w:sz w:val="28"/>
          <w:szCs w:val="28"/>
        </w:rPr>
        <w:t>.</w:t>
      </w:r>
    </w:p>
    <w:p w:rsidR="00B20D3D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13. Темы выпускных квалификационных работ определяются</w:t>
      </w:r>
      <w:r w:rsidR="00B20D3D">
        <w:rPr>
          <w:sz w:val="28"/>
          <w:szCs w:val="28"/>
        </w:rPr>
        <w:t xml:space="preserve"> училищем</w:t>
      </w:r>
      <w:r w:rsidRPr="000C1A8B">
        <w:rPr>
          <w:sz w:val="28"/>
          <w:szCs w:val="28"/>
        </w:rPr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</w:t>
      </w:r>
      <w:r w:rsidR="00B20D3D">
        <w:rPr>
          <w:sz w:val="28"/>
          <w:szCs w:val="28"/>
        </w:rPr>
        <w:t>:</w:t>
      </w:r>
    </w:p>
    <w:p w:rsidR="00B20D3D" w:rsidRDefault="00B20D3D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Живопись (по видам)– </w:t>
      </w:r>
      <w:r w:rsidR="00650A6F" w:rsidRPr="000C1A8B">
        <w:rPr>
          <w:sz w:val="28"/>
          <w:szCs w:val="28"/>
        </w:rPr>
        <w:t>содержанию</w:t>
      </w:r>
      <w:r w:rsidR="00A02871">
        <w:rPr>
          <w:sz w:val="28"/>
          <w:szCs w:val="28"/>
        </w:rPr>
        <w:t>профессионального модуля «Станковая живопись»</w:t>
      </w:r>
      <w:r>
        <w:rPr>
          <w:sz w:val="28"/>
          <w:szCs w:val="28"/>
        </w:rPr>
        <w:t>;</w:t>
      </w:r>
    </w:p>
    <w:p w:rsidR="000C1A8B" w:rsidRPr="000C1A8B" w:rsidRDefault="00B20D3D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Дизайн (по отраслям) – </w:t>
      </w:r>
      <w:r w:rsidR="00650A6F" w:rsidRPr="000C1A8B">
        <w:rPr>
          <w:sz w:val="28"/>
          <w:szCs w:val="28"/>
        </w:rPr>
        <w:t>содержанию</w:t>
      </w:r>
      <w:r>
        <w:rPr>
          <w:sz w:val="28"/>
          <w:szCs w:val="28"/>
        </w:rPr>
        <w:t>профессионального модуля «Творческая художественное-проектная деятельность</w:t>
      </w:r>
      <w:r w:rsidR="00A02871">
        <w:rPr>
          <w:sz w:val="28"/>
          <w:szCs w:val="28"/>
        </w:rPr>
        <w:t xml:space="preserve"> в области культуры и искусства</w:t>
      </w:r>
      <w:r>
        <w:rPr>
          <w:sz w:val="28"/>
          <w:szCs w:val="28"/>
        </w:rPr>
        <w:t>»</w:t>
      </w:r>
      <w:r w:rsidR="000C1A8B" w:rsidRPr="000C1A8B">
        <w:rPr>
          <w:sz w:val="28"/>
          <w:szCs w:val="28"/>
        </w:rPr>
        <w:t>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</w:t>
      </w:r>
      <w:r w:rsidR="00650A6F">
        <w:rPr>
          <w:sz w:val="28"/>
          <w:szCs w:val="28"/>
        </w:rPr>
        <w:t xml:space="preserve"> приказом директора училища</w:t>
      </w:r>
      <w:r w:rsidRPr="000C1A8B">
        <w:rPr>
          <w:sz w:val="28"/>
          <w:szCs w:val="28"/>
        </w:rPr>
        <w:t>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14. Государственный экзамен определяет уровень освоения студентом материала, предусмотренного учебным планом, и охватывает минимальное содержание дисциплин, установленное соответствующим федеральным государственным образовательным стандартом среднего профессионального образования.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 xml:space="preserve">15. Программа государственной итоговой аттестации, требования к выпускным квалификационным работам, а также критерии оценки </w:t>
      </w:r>
      <w:r w:rsidR="009A20EC">
        <w:rPr>
          <w:sz w:val="28"/>
          <w:szCs w:val="28"/>
        </w:rPr>
        <w:t xml:space="preserve">результатов государственной итоговой аттестации </w:t>
      </w:r>
      <w:r w:rsidRPr="000C1A8B">
        <w:rPr>
          <w:sz w:val="28"/>
          <w:szCs w:val="28"/>
        </w:rPr>
        <w:t xml:space="preserve">утверждаются </w:t>
      </w:r>
      <w:r w:rsidR="005F6D33">
        <w:rPr>
          <w:sz w:val="28"/>
          <w:szCs w:val="28"/>
        </w:rPr>
        <w:t xml:space="preserve">директором </w:t>
      </w:r>
      <w:r w:rsidR="005F6D33">
        <w:rPr>
          <w:sz w:val="28"/>
          <w:szCs w:val="28"/>
        </w:rPr>
        <w:lastRenderedPageBreak/>
        <w:t xml:space="preserve">училища </w:t>
      </w:r>
      <w:r w:rsidRPr="000C1A8B">
        <w:rPr>
          <w:sz w:val="28"/>
          <w:szCs w:val="28"/>
        </w:rPr>
        <w:t>после их обсуждения на заседании п</w:t>
      </w:r>
      <w:r w:rsidR="005F6D33">
        <w:rPr>
          <w:sz w:val="28"/>
          <w:szCs w:val="28"/>
        </w:rPr>
        <w:t xml:space="preserve">едагогического совета </w:t>
      </w:r>
      <w:r w:rsidR="00A02871">
        <w:rPr>
          <w:sz w:val="28"/>
          <w:szCs w:val="28"/>
        </w:rPr>
        <w:t>с участием председателя государственной экзаменационной</w:t>
      </w:r>
      <w:r w:rsidRPr="000C1A8B">
        <w:rPr>
          <w:sz w:val="28"/>
          <w:szCs w:val="28"/>
        </w:rPr>
        <w:t xml:space="preserve"> комисси</w:t>
      </w:r>
      <w:r w:rsidR="00A02871">
        <w:rPr>
          <w:sz w:val="28"/>
          <w:szCs w:val="28"/>
        </w:rPr>
        <w:t>и</w:t>
      </w:r>
      <w:r w:rsidRPr="000C1A8B">
        <w:rPr>
          <w:sz w:val="28"/>
          <w:szCs w:val="28"/>
        </w:rPr>
        <w:t>.</w:t>
      </w:r>
    </w:p>
    <w:p w:rsid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5F6D33" w:rsidRPr="000C1A8B" w:rsidRDefault="005F6D33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b/>
          <w:bCs/>
          <w:sz w:val="28"/>
          <w:szCs w:val="28"/>
        </w:rPr>
        <w:t>IV. Порядок проведения государственной итоговой аттестации</w:t>
      </w:r>
    </w:p>
    <w:p w:rsid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17.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1D57CA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18. Программа государственной итоговой аттестации, требования к выпускным квалификационным работам, а также критерии оценки</w:t>
      </w:r>
      <w:r w:rsidR="009A20EC">
        <w:rPr>
          <w:sz w:val="28"/>
          <w:szCs w:val="28"/>
        </w:rPr>
        <w:t>результатов государственной итоговой аттестации</w:t>
      </w:r>
      <w:r w:rsidRPr="000C1A8B">
        <w:rPr>
          <w:sz w:val="28"/>
          <w:szCs w:val="28"/>
        </w:rPr>
        <w:t>, утвержденные</w:t>
      </w:r>
      <w:r w:rsidR="005F6D33">
        <w:rPr>
          <w:sz w:val="28"/>
          <w:szCs w:val="28"/>
        </w:rPr>
        <w:t xml:space="preserve"> директором училища</w:t>
      </w:r>
      <w:r w:rsidRPr="000C1A8B">
        <w:rPr>
          <w:sz w:val="28"/>
          <w:szCs w:val="28"/>
        </w:rPr>
        <w:t>, доводятся до сведения студентов, не позднее чем за шесть месяцев до начала государственной итоговой аттестации.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19. Сдача государственного экзамена и защита выпускных квалификационных работ (за исключением работ</w:t>
      </w:r>
      <w:r w:rsidR="001D57CA">
        <w:rPr>
          <w:sz w:val="28"/>
          <w:szCs w:val="28"/>
        </w:rPr>
        <w:t>, допущенных к закрытой защите</w:t>
      </w:r>
      <w:r w:rsidRPr="000C1A8B">
        <w:rPr>
          <w:sz w:val="28"/>
          <w:szCs w:val="28"/>
        </w:rPr>
        <w:t>) проводятся на открытых заседаниях государственной экзаменационной комиссии с участием не менее двух третей ее состава.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20.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21.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22.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23.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lastRenderedPageBreak/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</w:t>
      </w:r>
      <w:r w:rsidR="005F6D33">
        <w:rPr>
          <w:sz w:val="28"/>
          <w:szCs w:val="28"/>
        </w:rPr>
        <w:t>дату начала преддипломной практики</w:t>
      </w:r>
      <w:r w:rsidR="001E2868">
        <w:rPr>
          <w:sz w:val="28"/>
          <w:szCs w:val="28"/>
        </w:rPr>
        <w:t xml:space="preserve"> следующего учебного года</w:t>
      </w:r>
      <w:r w:rsidRPr="000C1A8B">
        <w:rPr>
          <w:sz w:val="28"/>
          <w:szCs w:val="28"/>
        </w:rPr>
        <w:t>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24.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1E2868" w:rsidRPr="000C1A8B" w:rsidRDefault="001E2868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b/>
          <w:bCs/>
          <w:sz w:val="28"/>
          <w:szCs w:val="28"/>
        </w:rPr>
        <w:t>V.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25.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26. При проведении государственной итоговой аттестации обеспечивается соблюдение следующих общих требований: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комиссии):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а) для слепых: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 xml:space="preserve">задания для выполнения, а также инструкция о порядке государственной итоговой аттестации оформляются рельефно-точечным шрифтом Брайля или </w:t>
      </w:r>
      <w:r w:rsidRPr="000C1A8B">
        <w:rPr>
          <w:sz w:val="28"/>
          <w:szCs w:val="28"/>
        </w:rPr>
        <w:lastRenderedPageBreak/>
        <w:t>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0C1A8B">
        <w:rPr>
          <w:sz w:val="28"/>
          <w:szCs w:val="28"/>
        </w:rPr>
        <w:t>надиктовываются</w:t>
      </w:r>
      <w:proofErr w:type="spellEnd"/>
      <w:r w:rsidRPr="000C1A8B">
        <w:rPr>
          <w:sz w:val="28"/>
          <w:szCs w:val="28"/>
        </w:rPr>
        <w:t xml:space="preserve"> ассистенту;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б) для слабовидящих: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в) для глухих и слабослышащих с тяжелыми нарушениями речи: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C1A8B">
        <w:rPr>
          <w:sz w:val="28"/>
          <w:szCs w:val="28"/>
        </w:rPr>
        <w:t>надиктовываются</w:t>
      </w:r>
      <w:proofErr w:type="spellEnd"/>
      <w:r w:rsidRPr="000C1A8B">
        <w:rPr>
          <w:sz w:val="28"/>
          <w:szCs w:val="28"/>
        </w:rPr>
        <w:t xml:space="preserve"> ассистенту;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по их желанию государственный экзамен может проводиться в устной форме.</w:t>
      </w:r>
    </w:p>
    <w:p w:rsid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28. 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D46BDA" w:rsidRPr="000C1A8B" w:rsidRDefault="00D46BDA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b/>
          <w:bCs/>
          <w:sz w:val="28"/>
          <w:szCs w:val="28"/>
        </w:rPr>
        <w:t>VI. Порядок подачи и рассмотрения апелляций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29.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30.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lastRenderedPageBreak/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31. Апелляция рассматривается апелляционной комиссией не позднее трех рабочих дней с момента ее поступления.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32.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33. 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распорядительного акта образовательной организации.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34. Апелляция рассматривается на заседании апелляционной комиссии с участием не менее двух третей ее состава.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Указанные лица должны иметь при себе документы, удостоверяющие личность.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35. Рассмотрение апелляции не является пересдачей государственной итоговой аттестации.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36.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связи с чем протокол о рассмотрении </w:t>
      </w:r>
      <w:r w:rsidRPr="000C1A8B">
        <w:rPr>
          <w:sz w:val="28"/>
          <w:szCs w:val="28"/>
        </w:rPr>
        <w:lastRenderedPageBreak/>
        <w:t>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37.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38.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40. Решение апелляционной комиссии является окончательным и пересмотру не подлежит.</w:t>
      </w:r>
    </w:p>
    <w:p w:rsidR="000C1A8B" w:rsidRPr="000C1A8B" w:rsidRDefault="000C1A8B" w:rsidP="000C1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A8B">
        <w:rPr>
          <w:sz w:val="28"/>
          <w:szCs w:val="28"/>
        </w:rPr>
        <w:t>41.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F9312B" w:rsidRPr="000C1A8B" w:rsidRDefault="00F9312B" w:rsidP="000C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312B" w:rsidRPr="000C1A8B" w:rsidSect="0046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1A8B"/>
    <w:rsid w:val="00034A92"/>
    <w:rsid w:val="000C1A8B"/>
    <w:rsid w:val="001D57CA"/>
    <w:rsid w:val="001E2868"/>
    <w:rsid w:val="00236103"/>
    <w:rsid w:val="004613CF"/>
    <w:rsid w:val="0054217F"/>
    <w:rsid w:val="005A2888"/>
    <w:rsid w:val="005F6D33"/>
    <w:rsid w:val="0064489D"/>
    <w:rsid w:val="00650A6F"/>
    <w:rsid w:val="007E39C5"/>
    <w:rsid w:val="0081457A"/>
    <w:rsid w:val="00814A06"/>
    <w:rsid w:val="009A20EC"/>
    <w:rsid w:val="00A02871"/>
    <w:rsid w:val="00B20D3D"/>
    <w:rsid w:val="00B4557F"/>
    <w:rsid w:val="00B873BE"/>
    <w:rsid w:val="00B946EA"/>
    <w:rsid w:val="00BE5264"/>
    <w:rsid w:val="00C53428"/>
    <w:rsid w:val="00CA139E"/>
    <w:rsid w:val="00D46BDA"/>
    <w:rsid w:val="00F9312B"/>
    <w:rsid w:val="00FD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Андрей</cp:lastModifiedBy>
  <cp:revision>6</cp:revision>
  <dcterms:created xsi:type="dcterms:W3CDTF">2017-11-01T10:35:00Z</dcterms:created>
  <dcterms:modified xsi:type="dcterms:W3CDTF">2017-11-13T23:14:00Z</dcterms:modified>
</cp:coreProperties>
</file>